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B66" w:rsidRDefault="00DE4B66" w:rsidP="00126BE4">
      <w:pPr>
        <w:ind w:left="1080" w:hanging="720"/>
      </w:pPr>
    </w:p>
    <w:p w:rsidR="00F143C0" w:rsidRPr="00126BE4" w:rsidRDefault="00F143C0" w:rsidP="00DE4B66">
      <w:pPr>
        <w:pStyle w:val="Prrafodelista"/>
        <w:numPr>
          <w:ilvl w:val="0"/>
          <w:numId w:val="1"/>
        </w:numPr>
        <w:jc w:val="both"/>
        <w:rPr>
          <w:sz w:val="24"/>
          <w:szCs w:val="24"/>
        </w:rPr>
      </w:pPr>
      <w:r w:rsidRPr="00126BE4">
        <w:rPr>
          <w:b/>
          <w:bCs/>
          <w:sz w:val="24"/>
          <w:szCs w:val="24"/>
        </w:rPr>
        <w:t>Nombre documento:</w:t>
      </w:r>
      <w:r w:rsidR="00D505F3" w:rsidRPr="00126BE4">
        <w:rPr>
          <w:sz w:val="24"/>
          <w:szCs w:val="24"/>
        </w:rPr>
        <w:t xml:space="preserve"> </w:t>
      </w:r>
      <w:r w:rsidR="00A94242" w:rsidRPr="00A94242">
        <w:rPr>
          <w:sz w:val="24"/>
          <w:szCs w:val="24"/>
        </w:rPr>
        <w:t>Aceptación de Oferta de Pensión (Retiro programado o renta vitalicia)</w:t>
      </w:r>
      <w:r w:rsidR="000A5A5C">
        <w:rPr>
          <w:sz w:val="24"/>
          <w:szCs w:val="24"/>
        </w:rPr>
        <w:t>.</w:t>
      </w:r>
    </w:p>
    <w:p w:rsidR="00D505F3" w:rsidRPr="00126BE4" w:rsidRDefault="00D505F3" w:rsidP="00DE4B66">
      <w:pPr>
        <w:jc w:val="both"/>
        <w:rPr>
          <w:sz w:val="24"/>
          <w:szCs w:val="24"/>
        </w:rPr>
      </w:pPr>
    </w:p>
    <w:p w:rsidR="00D505F3" w:rsidRDefault="00F143C0" w:rsidP="00DE4B66">
      <w:pPr>
        <w:pStyle w:val="Prrafodelista"/>
        <w:numPr>
          <w:ilvl w:val="0"/>
          <w:numId w:val="1"/>
        </w:numPr>
        <w:jc w:val="both"/>
        <w:rPr>
          <w:sz w:val="24"/>
          <w:szCs w:val="24"/>
        </w:rPr>
      </w:pPr>
      <w:r w:rsidRPr="00A94242">
        <w:rPr>
          <w:b/>
          <w:bCs/>
          <w:sz w:val="24"/>
          <w:szCs w:val="24"/>
        </w:rPr>
        <w:t>Descripción:</w:t>
      </w:r>
      <w:r w:rsidR="00D505F3" w:rsidRPr="00A94242">
        <w:rPr>
          <w:sz w:val="24"/>
          <w:szCs w:val="24"/>
        </w:rPr>
        <w:t xml:space="preserve"> </w:t>
      </w:r>
      <w:r w:rsidR="00126BE4" w:rsidRPr="00A94242">
        <w:rPr>
          <w:sz w:val="24"/>
          <w:szCs w:val="24"/>
        </w:rPr>
        <w:t>Documento</w:t>
      </w:r>
      <w:r w:rsidR="00742210" w:rsidRPr="00A94242">
        <w:rPr>
          <w:sz w:val="24"/>
          <w:szCs w:val="24"/>
        </w:rPr>
        <w:t xml:space="preserve"> en que</w:t>
      </w:r>
      <w:r w:rsidR="00A94242" w:rsidRPr="00A94242">
        <w:rPr>
          <w:sz w:val="24"/>
          <w:szCs w:val="24"/>
        </w:rPr>
        <w:t xml:space="preserve"> el cotizante acepta la oferta de </w:t>
      </w:r>
      <w:r w:rsidR="00A94242">
        <w:rPr>
          <w:sz w:val="24"/>
          <w:szCs w:val="24"/>
        </w:rPr>
        <w:t xml:space="preserve">jubilación </w:t>
      </w:r>
      <w:r w:rsidR="00C268E5">
        <w:rPr>
          <w:sz w:val="24"/>
          <w:szCs w:val="24"/>
        </w:rPr>
        <w:t>generada por las instituciones del sistema.</w:t>
      </w:r>
    </w:p>
    <w:p w:rsidR="00A94242" w:rsidRPr="00A94242" w:rsidRDefault="00A94242" w:rsidP="00A94242">
      <w:pPr>
        <w:pStyle w:val="Prrafodelista"/>
        <w:ind w:left="1080"/>
        <w:jc w:val="both"/>
        <w:rPr>
          <w:sz w:val="24"/>
          <w:szCs w:val="24"/>
        </w:rPr>
      </w:pPr>
    </w:p>
    <w:p w:rsidR="00F143C0" w:rsidRDefault="00F143C0" w:rsidP="00DE4B66">
      <w:pPr>
        <w:pStyle w:val="Prrafodelista"/>
        <w:numPr>
          <w:ilvl w:val="0"/>
          <w:numId w:val="1"/>
        </w:numPr>
        <w:jc w:val="both"/>
        <w:rPr>
          <w:b/>
          <w:bCs/>
          <w:sz w:val="24"/>
          <w:szCs w:val="24"/>
        </w:rPr>
      </w:pPr>
      <w:r w:rsidRPr="00126BE4">
        <w:rPr>
          <w:b/>
          <w:bCs/>
          <w:sz w:val="24"/>
          <w:szCs w:val="24"/>
        </w:rPr>
        <w:t>Legalidad:</w:t>
      </w:r>
      <w:r w:rsidR="00D505F3" w:rsidRPr="00126BE4">
        <w:rPr>
          <w:b/>
          <w:bCs/>
          <w:sz w:val="24"/>
          <w:szCs w:val="24"/>
        </w:rPr>
        <w:t xml:space="preserve"> </w:t>
      </w:r>
    </w:p>
    <w:p w:rsidR="00670564" w:rsidRPr="00670564" w:rsidRDefault="00670564" w:rsidP="00DE4B66">
      <w:pPr>
        <w:pStyle w:val="Prrafodelista"/>
        <w:jc w:val="both"/>
        <w:rPr>
          <w:b/>
          <w:bCs/>
          <w:sz w:val="24"/>
          <w:szCs w:val="24"/>
        </w:rPr>
      </w:pPr>
    </w:p>
    <w:p w:rsidR="009B6B72" w:rsidRDefault="00A94242" w:rsidP="009B6B72">
      <w:pPr>
        <w:pStyle w:val="Prrafodelista"/>
        <w:numPr>
          <w:ilvl w:val="0"/>
          <w:numId w:val="2"/>
        </w:numPr>
        <w:jc w:val="both"/>
        <w:rPr>
          <w:sz w:val="24"/>
          <w:szCs w:val="24"/>
        </w:rPr>
      </w:pPr>
      <w:r>
        <w:rPr>
          <w:sz w:val="24"/>
          <w:szCs w:val="24"/>
        </w:rPr>
        <w:t>Compendio de normas del Sistema de Pensiones, capítulo I y anexo 12.</w:t>
      </w:r>
    </w:p>
    <w:p w:rsidR="00311C2B" w:rsidRPr="00311C2B" w:rsidRDefault="00311C2B" w:rsidP="00311C2B">
      <w:pPr>
        <w:pStyle w:val="Prrafodelista"/>
        <w:numPr>
          <w:ilvl w:val="0"/>
          <w:numId w:val="2"/>
        </w:numPr>
        <w:jc w:val="both"/>
        <w:rPr>
          <w:sz w:val="24"/>
          <w:szCs w:val="24"/>
        </w:rPr>
      </w:pPr>
      <w:r>
        <w:rPr>
          <w:sz w:val="24"/>
          <w:szCs w:val="24"/>
        </w:rPr>
        <w:t>Compendio de normas del Sistema de Pensiones, capítulo II</w:t>
      </w:r>
      <w:r w:rsidRPr="00311C2B">
        <w:rPr>
          <w:sz w:val="24"/>
          <w:szCs w:val="24"/>
        </w:rPr>
        <w:t>. (</w:t>
      </w:r>
      <w:hyperlink r:id="rId7" w:history="1">
        <w:r>
          <w:rPr>
            <w:rStyle w:val="Hipervnculo"/>
          </w:rPr>
          <w:t>https://www.spensiones.cl/portal/compendio/596/w3-propertyvalue-3296.html</w:t>
        </w:r>
      </w:hyperlink>
      <w:r>
        <w:t>)</w:t>
      </w:r>
    </w:p>
    <w:p w:rsidR="00A94242" w:rsidRPr="009B6B72" w:rsidRDefault="00C268E5" w:rsidP="009B6B72">
      <w:pPr>
        <w:pStyle w:val="Prrafodelista"/>
        <w:numPr>
          <w:ilvl w:val="0"/>
          <w:numId w:val="2"/>
        </w:numPr>
        <w:jc w:val="both"/>
        <w:rPr>
          <w:sz w:val="24"/>
          <w:szCs w:val="24"/>
        </w:rPr>
      </w:pPr>
      <w:r>
        <w:rPr>
          <w:sz w:val="24"/>
          <w:szCs w:val="24"/>
        </w:rPr>
        <w:t>Circular 1525 CMF (NCG Nº 218, enero 2020)</w:t>
      </w:r>
    </w:p>
    <w:p w:rsidR="006F0531" w:rsidRPr="006F0531" w:rsidRDefault="00F13014" w:rsidP="006F0531">
      <w:pPr>
        <w:pStyle w:val="Prrafodelista"/>
        <w:numPr>
          <w:ilvl w:val="0"/>
          <w:numId w:val="2"/>
        </w:numPr>
        <w:jc w:val="both"/>
        <w:rPr>
          <w:sz w:val="24"/>
          <w:szCs w:val="24"/>
        </w:rPr>
      </w:pPr>
      <w:r w:rsidRPr="00507968">
        <w:rPr>
          <w:sz w:val="24"/>
          <w:szCs w:val="24"/>
        </w:rPr>
        <w:t>Norma</w:t>
      </w:r>
      <w:r w:rsidR="00680333">
        <w:rPr>
          <w:sz w:val="24"/>
          <w:szCs w:val="24"/>
        </w:rPr>
        <w:t xml:space="preserve"> de Carácter General N° 436</w:t>
      </w:r>
      <w:r w:rsidRPr="00507968">
        <w:rPr>
          <w:sz w:val="24"/>
          <w:szCs w:val="24"/>
        </w:rPr>
        <w:t xml:space="preserve"> Comisión del Mercado Financiero (CMF), </w:t>
      </w:r>
      <w:r w:rsidR="00680333">
        <w:rPr>
          <w:sz w:val="24"/>
          <w:szCs w:val="24"/>
        </w:rPr>
        <w:t xml:space="preserve">y NCG </w:t>
      </w:r>
      <w:r w:rsidR="006F0531">
        <w:rPr>
          <w:sz w:val="24"/>
          <w:szCs w:val="24"/>
        </w:rPr>
        <w:t>Nº 262 Superintendencia de P</w:t>
      </w:r>
      <w:r w:rsidR="00680333">
        <w:rPr>
          <w:sz w:val="24"/>
          <w:szCs w:val="24"/>
        </w:rPr>
        <w:t>ensiones</w:t>
      </w:r>
      <w:r w:rsidR="006F0531">
        <w:rPr>
          <w:sz w:val="24"/>
          <w:szCs w:val="24"/>
        </w:rPr>
        <w:t>,</w:t>
      </w:r>
      <w:r w:rsidR="00680333">
        <w:rPr>
          <w:sz w:val="24"/>
          <w:szCs w:val="24"/>
        </w:rPr>
        <w:t xml:space="preserve"> de 01 de abril de 2020,</w:t>
      </w:r>
      <w:r w:rsidR="009B6B72">
        <w:rPr>
          <w:sz w:val="24"/>
          <w:szCs w:val="24"/>
        </w:rPr>
        <w:t xml:space="preserve"> </w:t>
      </w:r>
      <w:r w:rsidR="006F0531">
        <w:t xml:space="preserve">Imparte instrucciones transitorias sobre el Sistema de Consultas y Ofertas de Montos de Pensión establecido por el artículo 61 bis del </w:t>
      </w:r>
      <w:proofErr w:type="spellStart"/>
      <w:r w:rsidR="006F0531">
        <w:t>D.lo</w:t>
      </w:r>
      <w:proofErr w:type="spellEnd"/>
      <w:r w:rsidR="006F0531">
        <w:t xml:space="preserve"> N° 3.500, de 1980.</w:t>
      </w:r>
    </w:p>
    <w:p w:rsidR="006F0531" w:rsidRPr="00126BE4" w:rsidRDefault="006F0531" w:rsidP="006F0531">
      <w:pPr>
        <w:pStyle w:val="Prrafodelista"/>
        <w:numPr>
          <w:ilvl w:val="0"/>
          <w:numId w:val="2"/>
        </w:numPr>
        <w:jc w:val="both"/>
        <w:rPr>
          <w:sz w:val="24"/>
          <w:szCs w:val="24"/>
        </w:rPr>
      </w:pPr>
      <w:r>
        <w:t>NCG Nº 218 de la CMF y el Título 11 del Libro 111 del Compendio de Normas del Sistema de Pensiones de la Superintendencia de Pensiones que regula el SCOMP</w:t>
      </w:r>
    </w:p>
    <w:p w:rsidR="00F13014" w:rsidRPr="00507968" w:rsidRDefault="00F13014" w:rsidP="006F0531">
      <w:pPr>
        <w:pStyle w:val="Prrafodelista"/>
        <w:ind w:left="1800"/>
        <w:jc w:val="both"/>
        <w:rPr>
          <w:sz w:val="24"/>
          <w:szCs w:val="24"/>
        </w:rPr>
      </w:pPr>
    </w:p>
    <w:p w:rsidR="00670564" w:rsidRPr="009B6B72" w:rsidRDefault="00F143C0" w:rsidP="009B6B72">
      <w:pPr>
        <w:pStyle w:val="Prrafodelista"/>
        <w:numPr>
          <w:ilvl w:val="0"/>
          <w:numId w:val="1"/>
        </w:numPr>
        <w:jc w:val="both"/>
        <w:rPr>
          <w:sz w:val="24"/>
          <w:szCs w:val="24"/>
        </w:rPr>
      </w:pPr>
      <w:r w:rsidRPr="00126BE4">
        <w:rPr>
          <w:b/>
          <w:bCs/>
          <w:sz w:val="24"/>
          <w:szCs w:val="24"/>
        </w:rPr>
        <w:t xml:space="preserve">Usos: </w:t>
      </w:r>
      <w:r w:rsidR="006F0531">
        <w:rPr>
          <w:sz w:val="24"/>
          <w:szCs w:val="24"/>
        </w:rPr>
        <w:t>constitutivo y probatorio, durante la pandemia</w:t>
      </w:r>
    </w:p>
    <w:p w:rsidR="00D505F3" w:rsidRPr="00126BE4" w:rsidRDefault="00D505F3" w:rsidP="00DE4B66">
      <w:pPr>
        <w:jc w:val="both"/>
        <w:rPr>
          <w:sz w:val="24"/>
          <w:szCs w:val="24"/>
        </w:rPr>
      </w:pPr>
    </w:p>
    <w:p w:rsidR="00F143C0" w:rsidRDefault="00F143C0" w:rsidP="00DE4B66">
      <w:pPr>
        <w:pStyle w:val="Prrafodelista"/>
        <w:numPr>
          <w:ilvl w:val="0"/>
          <w:numId w:val="1"/>
        </w:numPr>
        <w:jc w:val="both"/>
        <w:rPr>
          <w:sz w:val="24"/>
          <w:szCs w:val="24"/>
        </w:rPr>
      </w:pPr>
      <w:r w:rsidRPr="00126BE4">
        <w:rPr>
          <w:sz w:val="24"/>
          <w:szCs w:val="24"/>
        </w:rPr>
        <w:t>I</w:t>
      </w:r>
      <w:r w:rsidRPr="007F543C">
        <w:rPr>
          <w:b/>
          <w:bCs/>
          <w:sz w:val="24"/>
          <w:szCs w:val="24"/>
        </w:rPr>
        <w:t>nstitución a la que se presenta</w:t>
      </w:r>
      <w:r w:rsidR="00D505F3" w:rsidRPr="007F543C">
        <w:rPr>
          <w:b/>
          <w:bCs/>
          <w:sz w:val="24"/>
          <w:szCs w:val="24"/>
        </w:rPr>
        <w:t xml:space="preserve">: </w:t>
      </w:r>
    </w:p>
    <w:p w:rsidR="00742210" w:rsidRPr="00A94242" w:rsidRDefault="00A94242" w:rsidP="00A94242">
      <w:pPr>
        <w:pStyle w:val="Prrafodelista"/>
        <w:numPr>
          <w:ilvl w:val="0"/>
          <w:numId w:val="2"/>
        </w:numPr>
        <w:jc w:val="both"/>
        <w:rPr>
          <w:sz w:val="24"/>
          <w:szCs w:val="24"/>
        </w:rPr>
      </w:pPr>
      <w:r w:rsidRPr="00311C2B">
        <w:rPr>
          <w:sz w:val="24"/>
          <w:szCs w:val="24"/>
        </w:rPr>
        <w:t>La Aceptación de la Oferta podrá realizarse en la Administradora</w:t>
      </w:r>
      <w:r w:rsidR="006F0531">
        <w:rPr>
          <w:sz w:val="24"/>
          <w:szCs w:val="24"/>
        </w:rPr>
        <w:t xml:space="preserve"> de Fondos de Pensiones</w:t>
      </w:r>
      <w:r w:rsidRPr="00311C2B">
        <w:rPr>
          <w:sz w:val="24"/>
          <w:szCs w:val="24"/>
        </w:rPr>
        <w:t xml:space="preserve"> o Compañía </w:t>
      </w:r>
      <w:r w:rsidR="006F0531">
        <w:rPr>
          <w:sz w:val="24"/>
          <w:szCs w:val="24"/>
        </w:rPr>
        <w:t xml:space="preserve">de Seguro </w:t>
      </w:r>
      <w:r w:rsidRPr="00311C2B">
        <w:rPr>
          <w:sz w:val="24"/>
          <w:szCs w:val="24"/>
        </w:rPr>
        <w:t>seleccionada, o en la Administradora de origen. La entidad que reciba la aceptación deberá informar de ésta al Sistema</w:t>
      </w:r>
    </w:p>
    <w:p w:rsidR="00A94242" w:rsidRPr="00C268E5" w:rsidRDefault="00A94242" w:rsidP="00A94242">
      <w:pPr>
        <w:pStyle w:val="Prrafodelista"/>
        <w:numPr>
          <w:ilvl w:val="0"/>
          <w:numId w:val="2"/>
        </w:numPr>
        <w:jc w:val="both"/>
        <w:rPr>
          <w:sz w:val="24"/>
          <w:szCs w:val="24"/>
        </w:rPr>
      </w:pPr>
      <w:r w:rsidRPr="00311C2B">
        <w:rPr>
          <w:sz w:val="24"/>
          <w:szCs w:val="24"/>
        </w:rPr>
        <w:t>En caso que una aceptación de renta vitalicia se efectúe en la AFP, el Sistema notificará esta situación en forma inmediata a la compañía aceptada. Del mismo modo, el Sistema notificará a las AFP involucradas, si se acepta un retiro programado en una AFP distinta a la de origen.</w:t>
      </w:r>
    </w:p>
    <w:p w:rsidR="00C268E5" w:rsidRDefault="00C268E5" w:rsidP="00C268E5">
      <w:pPr>
        <w:pStyle w:val="Prrafodelista"/>
        <w:ind w:left="1800"/>
        <w:jc w:val="both"/>
        <w:rPr>
          <w:rFonts w:ascii="Arial" w:hAnsi="Arial" w:cs="Arial"/>
          <w:color w:val="666666"/>
          <w:sz w:val="21"/>
          <w:szCs w:val="21"/>
          <w:shd w:val="clear" w:color="auto" w:fill="FFFFFF"/>
        </w:rPr>
      </w:pPr>
    </w:p>
    <w:p w:rsidR="00C268E5" w:rsidRPr="00126BE4" w:rsidRDefault="00C268E5" w:rsidP="00C268E5">
      <w:pPr>
        <w:pStyle w:val="Prrafodelista"/>
        <w:ind w:left="1800"/>
        <w:jc w:val="both"/>
        <w:rPr>
          <w:sz w:val="24"/>
          <w:szCs w:val="24"/>
        </w:rPr>
      </w:pPr>
    </w:p>
    <w:p w:rsidR="00F143C0" w:rsidRPr="00B940A8" w:rsidRDefault="00742210" w:rsidP="00DE4B66">
      <w:pPr>
        <w:pStyle w:val="Prrafodelista"/>
        <w:numPr>
          <w:ilvl w:val="0"/>
          <w:numId w:val="1"/>
        </w:numPr>
        <w:jc w:val="both"/>
        <w:rPr>
          <w:b/>
          <w:bCs/>
          <w:sz w:val="24"/>
          <w:szCs w:val="24"/>
        </w:rPr>
      </w:pPr>
      <w:r>
        <w:rPr>
          <w:b/>
          <w:bCs/>
          <w:sz w:val="24"/>
          <w:szCs w:val="24"/>
        </w:rPr>
        <w:t>Suscripción electrónica</w:t>
      </w:r>
      <w:r w:rsidR="00F143C0" w:rsidRPr="00B940A8">
        <w:rPr>
          <w:b/>
          <w:bCs/>
          <w:sz w:val="24"/>
          <w:szCs w:val="24"/>
        </w:rPr>
        <w:t xml:space="preserve">: </w:t>
      </w:r>
    </w:p>
    <w:p w:rsidR="006F0531" w:rsidRDefault="006F0531" w:rsidP="006F0531">
      <w:pPr>
        <w:pStyle w:val="Prrafodelista"/>
        <w:ind w:left="1080"/>
        <w:jc w:val="both"/>
      </w:pPr>
      <w:r>
        <w:t>La Firma electrónica aparece como un mecanismo más robusto que el previsto en la CNG 236, que prevé lo siguiente:</w:t>
      </w:r>
    </w:p>
    <w:p w:rsidR="006F0531" w:rsidRDefault="006F0531" w:rsidP="006F0531">
      <w:pPr>
        <w:pStyle w:val="Prrafodelista"/>
        <w:ind w:left="1080"/>
        <w:jc w:val="both"/>
      </w:pPr>
      <w:r>
        <w:lastRenderedPageBreak/>
        <w:t xml:space="preserve">Las instituciones (AFP y Compañías de Seguir)) deberán implementar distintos sistemas de recepción remota de Solicitudes de Ofertas, como suscripción en el sitio web y </w:t>
      </w:r>
      <w:proofErr w:type="spellStart"/>
      <w:r>
        <w:t>call</w:t>
      </w:r>
      <w:proofErr w:type="spellEnd"/>
      <w:r>
        <w:t xml:space="preserve"> center, estableciendo medidas de autentificación del solicitante como set de preguntas, grabación, clave de seguridad (en el caso de las AFP), </w:t>
      </w:r>
      <w:proofErr w:type="spellStart"/>
      <w:r>
        <w:t>etc</w:t>
      </w:r>
      <w:proofErr w:type="spellEnd"/>
    </w:p>
    <w:p w:rsidR="006F0531" w:rsidRDefault="006F0531" w:rsidP="006F0531">
      <w:pPr>
        <w:pStyle w:val="Prrafodelista"/>
        <w:ind w:left="1080"/>
        <w:jc w:val="both"/>
      </w:pPr>
      <w:r>
        <w:t>Alternativamente, dado que las compañías de seguros no disponen de una clave de usuario virtual del afiliado, podrán utilizar como verificación un sistema de correo electrónico más una llamada telefónica grabada. Además, deberá establecer medidas que permitan la autentificación del solicitante, como, por ejemplo, un set de preguntas. En la Solicitud de Ofertas disponible en SCOMP se deberán seleccionar las alternativas requeridas por el consultante por correo electrónico o telefónicamente, y, previo a grabar la Solicitud de Ofertas en el Sistema, deberá descargarla y enviarla por correo electrónico al consultante. Una vez que el consultante manifieste su conformidad, podrá registrarla en el Sistema.</w:t>
      </w:r>
    </w:p>
    <w:p w:rsidR="006E52F5" w:rsidRDefault="006F0531" w:rsidP="006F0531">
      <w:pPr>
        <w:pStyle w:val="Prrafodelista"/>
        <w:ind w:left="1080"/>
        <w:jc w:val="both"/>
      </w:pPr>
      <w:r>
        <w:t xml:space="preserve">No obstante que la normativa vigente establece que el consultante (afiliado o </w:t>
      </w:r>
      <w:proofErr w:type="gramStart"/>
      <w:r>
        <w:t>beneficiarios</w:t>
      </w:r>
      <w:proofErr w:type="gramEnd"/>
      <w:r>
        <w:t xml:space="preserve">), deberá suscribir personalmente el formulario de aceptación de la oferta, en forma alternativa y sólo durante el plazo establecido en la presente norma, la aceptación de la oferta podrá: </w:t>
      </w:r>
    </w:p>
    <w:p w:rsidR="006E52F5" w:rsidRDefault="006F0531" w:rsidP="006F0531">
      <w:pPr>
        <w:pStyle w:val="Prrafodelista"/>
        <w:ind w:left="1080"/>
        <w:jc w:val="both"/>
      </w:pPr>
      <w:r>
        <w:t xml:space="preserve">a) Ser ingresada por el afiliado en el sitio web de la Administradora de origen, utilizando una autentificación que tenga medidas de seguridad equivalentes a las establecidas para la clave del sitio privado. </w:t>
      </w:r>
    </w:p>
    <w:p w:rsidR="006F0531" w:rsidRDefault="006F0531" w:rsidP="006F0531">
      <w:pPr>
        <w:pStyle w:val="Prrafodelista"/>
        <w:ind w:left="1080"/>
        <w:jc w:val="both"/>
      </w:pPr>
      <w:r>
        <w:t xml:space="preserve">b) Ser ingresada al Sistema por la compañía de seguros, conforme a la autorización e instrucciones otorgadas por el consultante mediante </w:t>
      </w:r>
      <w:proofErr w:type="gramStart"/>
      <w:r>
        <w:t>correo electrónico y confirmadas</w:t>
      </w:r>
      <w:proofErr w:type="gramEnd"/>
      <w:r>
        <w:t xml:space="preserve"> mediante llamada telefónica. </w:t>
      </w:r>
      <w:r w:rsidRPr="006E52F5">
        <w:rPr>
          <w:b/>
        </w:rPr>
        <w:t>La compañía de seguros deberá establecer medidas que permitan la autentificación del solicitante, como, por ejemplo, un set de preguntas</w:t>
      </w:r>
      <w:r>
        <w:t>. Para lo anterior, antes de grabar la aceptación de la oferta en el Sistema con la elección del consultante, la aseguradora deberá descargarla y enviarla por correo electrónico al consultante. Una vez que el consultante manifieste que está conforme, el partícipe podrá grabarla.</w:t>
      </w:r>
    </w:p>
    <w:p w:rsidR="006F0531" w:rsidRDefault="006F0531" w:rsidP="006F0531">
      <w:pPr>
        <w:pStyle w:val="Prrafodelista"/>
        <w:ind w:left="1080"/>
        <w:jc w:val="both"/>
      </w:pPr>
    </w:p>
    <w:p w:rsidR="002B0E55" w:rsidRDefault="002B0E55" w:rsidP="006F0531">
      <w:pPr>
        <w:pStyle w:val="Prrafodelista"/>
        <w:numPr>
          <w:ilvl w:val="0"/>
          <w:numId w:val="1"/>
        </w:numPr>
        <w:jc w:val="both"/>
        <w:rPr>
          <w:b/>
          <w:bCs/>
          <w:sz w:val="24"/>
          <w:szCs w:val="24"/>
        </w:rPr>
      </w:pPr>
      <w:r>
        <w:rPr>
          <w:b/>
          <w:bCs/>
          <w:sz w:val="24"/>
          <w:szCs w:val="24"/>
        </w:rPr>
        <w:t>Requisitos de proceso</w:t>
      </w:r>
    </w:p>
    <w:p w:rsidR="002B0E55" w:rsidRPr="0052208C" w:rsidRDefault="00311C2B" w:rsidP="0052208C">
      <w:pPr>
        <w:pStyle w:val="Prrafodelista"/>
        <w:numPr>
          <w:ilvl w:val="0"/>
          <w:numId w:val="5"/>
        </w:numPr>
        <w:jc w:val="both"/>
        <w:rPr>
          <w:bCs/>
          <w:sz w:val="24"/>
          <w:szCs w:val="24"/>
        </w:rPr>
      </w:pPr>
      <w:r>
        <w:rPr>
          <w:bCs/>
          <w:sz w:val="24"/>
          <w:szCs w:val="24"/>
        </w:rPr>
        <w:t>Debe mantenerse registro de</w:t>
      </w:r>
      <w:r w:rsidR="0052208C" w:rsidRPr="0052208C">
        <w:rPr>
          <w:bCs/>
          <w:sz w:val="24"/>
          <w:szCs w:val="24"/>
        </w:rPr>
        <w:t xml:space="preserve"> log </w:t>
      </w:r>
      <w:proofErr w:type="spellStart"/>
      <w:r>
        <w:rPr>
          <w:bCs/>
          <w:sz w:val="24"/>
          <w:szCs w:val="24"/>
        </w:rPr>
        <w:t>contínuos</w:t>
      </w:r>
      <w:proofErr w:type="spellEnd"/>
      <w:r>
        <w:rPr>
          <w:bCs/>
          <w:sz w:val="24"/>
          <w:szCs w:val="24"/>
        </w:rPr>
        <w:t xml:space="preserve"> que se deben guardar con</w:t>
      </w:r>
      <w:r w:rsidR="0052208C" w:rsidRPr="0052208C">
        <w:rPr>
          <w:bCs/>
          <w:sz w:val="24"/>
          <w:szCs w:val="24"/>
        </w:rPr>
        <w:t xml:space="preserve"> FEA</w:t>
      </w:r>
    </w:p>
    <w:p w:rsidR="00311C2B" w:rsidRDefault="0052208C" w:rsidP="00311C2B">
      <w:pPr>
        <w:pStyle w:val="Prrafodelista"/>
        <w:numPr>
          <w:ilvl w:val="0"/>
          <w:numId w:val="5"/>
        </w:numPr>
        <w:jc w:val="both"/>
        <w:rPr>
          <w:bCs/>
          <w:sz w:val="24"/>
          <w:szCs w:val="24"/>
        </w:rPr>
      </w:pPr>
      <w:r w:rsidRPr="0052208C">
        <w:rPr>
          <w:bCs/>
          <w:sz w:val="24"/>
          <w:szCs w:val="24"/>
        </w:rPr>
        <w:t xml:space="preserve">La hora debe estar sincronizada con la hora oficial de Chile Continental </w:t>
      </w:r>
    </w:p>
    <w:p w:rsidR="00311C2B" w:rsidRPr="00311C2B" w:rsidRDefault="00311C2B" w:rsidP="00311C2B">
      <w:pPr>
        <w:pStyle w:val="Prrafodelista"/>
        <w:numPr>
          <w:ilvl w:val="0"/>
          <w:numId w:val="5"/>
        </w:numPr>
        <w:jc w:val="both"/>
        <w:rPr>
          <w:bCs/>
          <w:sz w:val="24"/>
          <w:szCs w:val="24"/>
        </w:rPr>
      </w:pPr>
      <w:r w:rsidRPr="00311C2B">
        <w:rPr>
          <w:sz w:val="23"/>
          <w:szCs w:val="23"/>
        </w:rPr>
        <w:t xml:space="preserve">El Sistema deberá utilizar firma electrónica avanzada al menos en los siguientes procesos: </w:t>
      </w:r>
    </w:p>
    <w:p w:rsidR="00311C2B" w:rsidRPr="00311C2B" w:rsidRDefault="00311C2B" w:rsidP="00311C2B">
      <w:pPr>
        <w:pStyle w:val="Prrafodelista"/>
        <w:numPr>
          <w:ilvl w:val="1"/>
          <w:numId w:val="5"/>
        </w:numPr>
        <w:jc w:val="both"/>
        <w:rPr>
          <w:bCs/>
          <w:sz w:val="24"/>
          <w:szCs w:val="24"/>
        </w:rPr>
      </w:pPr>
      <w:r w:rsidRPr="00311C2B">
        <w:rPr>
          <w:sz w:val="23"/>
          <w:szCs w:val="23"/>
        </w:rPr>
        <w:t xml:space="preserve">Envío del Certificado Electrónico de Saldo desde la Administradora de origen al Sistema. </w:t>
      </w:r>
    </w:p>
    <w:p w:rsidR="00311C2B" w:rsidRPr="00311C2B" w:rsidRDefault="00311C2B" w:rsidP="00311C2B">
      <w:pPr>
        <w:pStyle w:val="Prrafodelista"/>
        <w:numPr>
          <w:ilvl w:val="1"/>
          <w:numId w:val="5"/>
        </w:numPr>
        <w:jc w:val="both"/>
        <w:rPr>
          <w:bCs/>
          <w:sz w:val="24"/>
          <w:szCs w:val="24"/>
        </w:rPr>
      </w:pPr>
      <w:r w:rsidRPr="00311C2B">
        <w:rPr>
          <w:sz w:val="23"/>
          <w:szCs w:val="23"/>
        </w:rPr>
        <w:t xml:space="preserve">Envío de las ofertas de renta vitalicia desde las Compañías al Sistema. </w:t>
      </w:r>
    </w:p>
    <w:p w:rsidR="00311C2B" w:rsidRPr="006F0531" w:rsidRDefault="00311C2B" w:rsidP="00311C2B">
      <w:pPr>
        <w:pStyle w:val="Prrafodelista"/>
        <w:numPr>
          <w:ilvl w:val="1"/>
          <w:numId w:val="5"/>
        </w:numPr>
        <w:jc w:val="both"/>
        <w:rPr>
          <w:bCs/>
          <w:sz w:val="24"/>
          <w:szCs w:val="24"/>
        </w:rPr>
      </w:pPr>
      <w:r w:rsidRPr="00311C2B">
        <w:rPr>
          <w:sz w:val="23"/>
          <w:szCs w:val="23"/>
        </w:rPr>
        <w:t>Envío electrónico del Certificado de Ofertas desde el Sistema al consultante.</w:t>
      </w:r>
    </w:p>
    <w:p w:rsidR="006F0531" w:rsidRPr="00311C2B" w:rsidRDefault="006F0531" w:rsidP="006F0531">
      <w:pPr>
        <w:pStyle w:val="Prrafodelista"/>
        <w:numPr>
          <w:ilvl w:val="0"/>
          <w:numId w:val="5"/>
        </w:numPr>
        <w:jc w:val="both"/>
        <w:rPr>
          <w:bCs/>
          <w:sz w:val="24"/>
          <w:szCs w:val="24"/>
        </w:rPr>
      </w:pPr>
      <w:r>
        <w:rPr>
          <w:sz w:val="23"/>
          <w:szCs w:val="23"/>
        </w:rPr>
        <w:t>En el ingreso de la aceptación se debe hacer constar un correo electrónico u otro sistema fiable de comunicación con el usuario.</w:t>
      </w:r>
    </w:p>
    <w:p w:rsidR="008724D5" w:rsidRPr="00B940A8" w:rsidRDefault="00F143C0" w:rsidP="00DE4B66">
      <w:pPr>
        <w:pStyle w:val="Prrafodelista"/>
        <w:numPr>
          <w:ilvl w:val="0"/>
          <w:numId w:val="1"/>
        </w:numPr>
        <w:jc w:val="both"/>
        <w:rPr>
          <w:b/>
          <w:bCs/>
          <w:sz w:val="24"/>
          <w:szCs w:val="24"/>
        </w:rPr>
      </w:pPr>
      <w:r w:rsidRPr="00B940A8">
        <w:rPr>
          <w:b/>
          <w:bCs/>
          <w:sz w:val="24"/>
          <w:szCs w:val="24"/>
        </w:rPr>
        <w:lastRenderedPageBreak/>
        <w:t>Modelo</w:t>
      </w:r>
      <w:r w:rsidR="00D505F3" w:rsidRPr="00B940A8">
        <w:rPr>
          <w:b/>
          <w:bCs/>
          <w:sz w:val="24"/>
          <w:szCs w:val="24"/>
        </w:rPr>
        <w:t xml:space="preserve">: </w:t>
      </w:r>
    </w:p>
    <w:p w:rsidR="00B940A8" w:rsidRDefault="00B940A8" w:rsidP="00B940A8">
      <w:pPr>
        <w:pStyle w:val="Prrafodelista"/>
        <w:ind w:left="1080"/>
        <w:jc w:val="both"/>
        <w:rPr>
          <w:sz w:val="24"/>
          <w:szCs w:val="24"/>
        </w:rPr>
      </w:pPr>
    </w:p>
    <w:p w:rsidR="003E38F6" w:rsidRDefault="003E38F6" w:rsidP="00B940A8">
      <w:pPr>
        <w:pStyle w:val="Prrafodelista"/>
        <w:ind w:left="1080"/>
        <w:jc w:val="both"/>
        <w:rPr>
          <w:sz w:val="24"/>
          <w:szCs w:val="24"/>
        </w:rPr>
      </w:pPr>
    </w:p>
    <w:p w:rsidR="003E38F6" w:rsidRDefault="003E38F6" w:rsidP="00B940A8">
      <w:pPr>
        <w:pStyle w:val="Prrafodelista"/>
        <w:ind w:left="1080"/>
        <w:jc w:val="both"/>
        <w:rPr>
          <w:sz w:val="24"/>
          <w:szCs w:val="24"/>
        </w:rPr>
      </w:pPr>
    </w:p>
    <w:p w:rsidR="00B940A8" w:rsidRDefault="00B940A8" w:rsidP="005D6CA6">
      <w:pPr>
        <w:pStyle w:val="Prrafodelista"/>
        <w:numPr>
          <w:ilvl w:val="0"/>
          <w:numId w:val="1"/>
        </w:numPr>
        <w:jc w:val="both"/>
        <w:rPr>
          <w:b/>
          <w:bCs/>
          <w:sz w:val="24"/>
          <w:szCs w:val="24"/>
        </w:rPr>
      </w:pPr>
      <w:r w:rsidRPr="003E38F6">
        <w:rPr>
          <w:b/>
          <w:bCs/>
          <w:sz w:val="24"/>
          <w:szCs w:val="24"/>
        </w:rPr>
        <w:t xml:space="preserve"> </w:t>
      </w:r>
      <w:r w:rsidR="005D6CA6" w:rsidRPr="003E38F6">
        <w:rPr>
          <w:b/>
          <w:bCs/>
          <w:sz w:val="24"/>
          <w:szCs w:val="24"/>
        </w:rPr>
        <w:t>Sitios web de referencia</w:t>
      </w:r>
    </w:p>
    <w:p w:rsidR="00B468CE" w:rsidRPr="00B468CE" w:rsidRDefault="00604A36" w:rsidP="00B468CE">
      <w:pPr>
        <w:pStyle w:val="Prrafodelista"/>
        <w:numPr>
          <w:ilvl w:val="0"/>
          <w:numId w:val="2"/>
        </w:numPr>
        <w:jc w:val="both"/>
        <w:rPr>
          <w:b/>
          <w:bCs/>
          <w:sz w:val="24"/>
          <w:szCs w:val="24"/>
        </w:rPr>
      </w:pPr>
      <w:hyperlink r:id="rId8" w:history="1">
        <w:r w:rsidR="00B468CE">
          <w:rPr>
            <w:rStyle w:val="Hipervnculo"/>
          </w:rPr>
          <w:t>http://www.cmfchile.cl/normativa/ncg_434_2020.pdf</w:t>
        </w:r>
      </w:hyperlink>
    </w:p>
    <w:sectPr w:rsidR="00B468CE" w:rsidRPr="00B468CE" w:rsidSect="00665254">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918" w:rsidRDefault="001A6918" w:rsidP="00F72F53">
      <w:pPr>
        <w:spacing w:after="0" w:line="240" w:lineRule="auto"/>
      </w:pPr>
      <w:r>
        <w:separator/>
      </w:r>
    </w:p>
  </w:endnote>
  <w:endnote w:type="continuationSeparator" w:id="0">
    <w:p w:rsidR="001A6918" w:rsidRDefault="001A6918" w:rsidP="00F72F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F53" w:rsidRPr="00F72F53" w:rsidRDefault="00F72F53" w:rsidP="00DE4B66">
    <w:pPr>
      <w:pStyle w:val="Piedepgina"/>
      <w:jc w:val="right"/>
      <w:rPr>
        <w:lang w:val="es-ES"/>
      </w:rPr>
    </w:pPr>
    <w:r>
      <w:rPr>
        <w:lang w:val="es-ES"/>
      </w:rPr>
      <w:t xml:space="preserve">Reusser Donoso </w:t>
    </w:r>
    <w:r w:rsidR="00DE4B66">
      <w:rPr>
        <w:lang w:val="es-ES"/>
      </w:rPr>
      <w:t>&amp; Asociados, 2020.</w:t>
    </w:r>
    <w:r w:rsidR="00DE4B66">
      <w:rPr>
        <w:lang w:val="es-ES"/>
      </w:rPr>
      <w:br/>
      <w:t>www.redoa.cl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918" w:rsidRDefault="001A6918" w:rsidP="00F72F53">
      <w:pPr>
        <w:spacing w:after="0" w:line="240" w:lineRule="auto"/>
      </w:pPr>
      <w:r>
        <w:separator/>
      </w:r>
    </w:p>
  </w:footnote>
  <w:footnote w:type="continuationSeparator" w:id="0">
    <w:p w:rsidR="001A6918" w:rsidRDefault="001A6918" w:rsidP="00F72F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F53" w:rsidRPr="00742210" w:rsidRDefault="00F72F53">
    <w:pPr>
      <w:pStyle w:val="Encabezado"/>
      <w:rPr>
        <w:b/>
        <w:bCs/>
        <w:sz w:val="20"/>
        <w:szCs w:val="20"/>
        <w:lang w:val="es-ES"/>
      </w:rPr>
    </w:pPr>
    <w:r w:rsidRPr="00742210">
      <w:rPr>
        <w:b/>
        <w:bCs/>
        <w:sz w:val="20"/>
        <w:szCs w:val="20"/>
        <w:lang w:val="es-ES"/>
      </w:rPr>
      <w:t xml:space="preserve">FICHA DE EJEMPLO </w:t>
    </w:r>
    <w:r w:rsidR="00A94242">
      <w:rPr>
        <w:b/>
        <w:bCs/>
        <w:sz w:val="20"/>
        <w:szCs w:val="20"/>
        <w:lang w:val="es-ES"/>
      </w:rPr>
      <w:t>– Aceptación de Oferta de Pensión (Retiro programado o renta vitalicia)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47CD"/>
    <w:multiLevelType w:val="hybridMultilevel"/>
    <w:tmpl w:val="0722F5C2"/>
    <w:lvl w:ilvl="0" w:tplc="BE647C2C">
      <w:start w:val="5"/>
      <w:numFmt w:val="bullet"/>
      <w:lvlText w:val="-"/>
      <w:lvlJc w:val="left"/>
      <w:pPr>
        <w:ind w:left="1080" w:hanging="360"/>
      </w:pPr>
      <w:rPr>
        <w:rFonts w:ascii="Calibri" w:eastAsiaTheme="minorHAnsi" w:hAnsi="Calibri" w:cstheme="minorBidi"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E0724F9"/>
    <w:multiLevelType w:val="hybridMultilevel"/>
    <w:tmpl w:val="33AA5B0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
    <w:nsid w:val="29705DB5"/>
    <w:multiLevelType w:val="hybridMultilevel"/>
    <w:tmpl w:val="71E24946"/>
    <w:lvl w:ilvl="0" w:tplc="CA9650D6">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0F241E4"/>
    <w:multiLevelType w:val="hybridMultilevel"/>
    <w:tmpl w:val="8DCC5088"/>
    <w:lvl w:ilvl="0" w:tplc="8AD4480E">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60445301"/>
    <w:multiLevelType w:val="hybridMultilevel"/>
    <w:tmpl w:val="44421820"/>
    <w:lvl w:ilvl="0" w:tplc="0C0A0001">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143C0"/>
    <w:rsid w:val="000A5A5C"/>
    <w:rsid w:val="00126BE4"/>
    <w:rsid w:val="001A6918"/>
    <w:rsid w:val="002B0E55"/>
    <w:rsid w:val="00311C2B"/>
    <w:rsid w:val="003E38F6"/>
    <w:rsid w:val="00507968"/>
    <w:rsid w:val="0052208C"/>
    <w:rsid w:val="00540E17"/>
    <w:rsid w:val="00541075"/>
    <w:rsid w:val="005D6CA6"/>
    <w:rsid w:val="00604A36"/>
    <w:rsid w:val="00665254"/>
    <w:rsid w:val="00670564"/>
    <w:rsid w:val="00680333"/>
    <w:rsid w:val="006E52F5"/>
    <w:rsid w:val="006F0531"/>
    <w:rsid w:val="00710F2C"/>
    <w:rsid w:val="00742210"/>
    <w:rsid w:val="00766219"/>
    <w:rsid w:val="007F543C"/>
    <w:rsid w:val="00822C92"/>
    <w:rsid w:val="00853A77"/>
    <w:rsid w:val="008724D5"/>
    <w:rsid w:val="008761D0"/>
    <w:rsid w:val="009B6B72"/>
    <w:rsid w:val="00A94242"/>
    <w:rsid w:val="00B468CE"/>
    <w:rsid w:val="00B940A8"/>
    <w:rsid w:val="00BD4345"/>
    <w:rsid w:val="00C2517B"/>
    <w:rsid w:val="00C268E5"/>
    <w:rsid w:val="00C90458"/>
    <w:rsid w:val="00D505F3"/>
    <w:rsid w:val="00D84516"/>
    <w:rsid w:val="00DC5F9C"/>
    <w:rsid w:val="00DE4B66"/>
    <w:rsid w:val="00F13014"/>
    <w:rsid w:val="00F143C0"/>
    <w:rsid w:val="00F26C42"/>
    <w:rsid w:val="00F72F53"/>
    <w:rsid w:val="00FA1C9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25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6BE4"/>
    <w:pPr>
      <w:ind w:left="720"/>
      <w:contextualSpacing/>
    </w:pPr>
  </w:style>
  <w:style w:type="paragraph" w:styleId="Encabezado">
    <w:name w:val="header"/>
    <w:basedOn w:val="Normal"/>
    <w:link w:val="EncabezadoCar"/>
    <w:uiPriority w:val="99"/>
    <w:unhideWhenUsed/>
    <w:rsid w:val="00F72F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2F53"/>
  </w:style>
  <w:style w:type="paragraph" w:styleId="Piedepgina">
    <w:name w:val="footer"/>
    <w:basedOn w:val="Normal"/>
    <w:link w:val="PiedepginaCar"/>
    <w:uiPriority w:val="99"/>
    <w:unhideWhenUsed/>
    <w:rsid w:val="00F72F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2F53"/>
  </w:style>
  <w:style w:type="paragraph" w:customStyle="1" w:styleId="Direccindeldestinatario">
    <w:name w:val="Dirección del destinatario"/>
    <w:basedOn w:val="Normal"/>
    <w:rsid w:val="00822C92"/>
    <w:pPr>
      <w:spacing w:after="120" w:line="288" w:lineRule="auto"/>
    </w:pPr>
    <w:rPr>
      <w:rFonts w:eastAsiaTheme="minorEastAsia"/>
      <w:lang w:val="fr-FR" w:eastAsia="fr-FR" w:bidi="th-TH"/>
    </w:rPr>
  </w:style>
  <w:style w:type="character" w:styleId="Hipervnculo">
    <w:name w:val="Hyperlink"/>
    <w:basedOn w:val="Fuentedeprrafopredeter"/>
    <w:uiPriority w:val="99"/>
    <w:semiHidden/>
    <w:unhideWhenUsed/>
    <w:rsid w:val="005D6CA6"/>
    <w:rPr>
      <w:color w:val="0000FF"/>
      <w:u w:val="single"/>
    </w:rPr>
  </w:style>
  <w:style w:type="paragraph" w:customStyle="1" w:styleId="Default">
    <w:name w:val="Default"/>
    <w:rsid w:val="00311C2B"/>
    <w:pPr>
      <w:autoSpaceDE w:val="0"/>
      <w:autoSpaceDN w:val="0"/>
      <w:adjustRightInd w:val="0"/>
      <w:spacing w:after="0" w:line="240" w:lineRule="auto"/>
    </w:pPr>
    <w:rPr>
      <w:rFonts w:ascii="Times New Roman" w:hAnsi="Times New Roman" w:cs="Times New Roman"/>
      <w:color w:val="000000"/>
      <w:sz w:val="24"/>
      <w:szCs w:val="24"/>
      <w:lang w:val="es-ES"/>
    </w:rPr>
  </w:style>
</w:styles>
</file>

<file path=word/webSettings.xml><?xml version="1.0" encoding="utf-8"?>
<w:webSettings xmlns:r="http://schemas.openxmlformats.org/officeDocument/2006/relationships" xmlns:w="http://schemas.openxmlformats.org/wordprocessingml/2006/main">
  <w:divs>
    <w:div w:id="81948465">
      <w:bodyDiv w:val="1"/>
      <w:marLeft w:val="0"/>
      <w:marRight w:val="0"/>
      <w:marTop w:val="0"/>
      <w:marBottom w:val="0"/>
      <w:divBdr>
        <w:top w:val="none" w:sz="0" w:space="0" w:color="auto"/>
        <w:left w:val="none" w:sz="0" w:space="0" w:color="auto"/>
        <w:bottom w:val="none" w:sz="0" w:space="0" w:color="auto"/>
        <w:right w:val="none" w:sz="0" w:space="0" w:color="auto"/>
      </w:divBdr>
    </w:div>
    <w:div w:id="327250906">
      <w:bodyDiv w:val="1"/>
      <w:marLeft w:val="0"/>
      <w:marRight w:val="0"/>
      <w:marTop w:val="0"/>
      <w:marBottom w:val="0"/>
      <w:divBdr>
        <w:top w:val="none" w:sz="0" w:space="0" w:color="auto"/>
        <w:left w:val="none" w:sz="0" w:space="0" w:color="auto"/>
        <w:bottom w:val="none" w:sz="0" w:space="0" w:color="auto"/>
        <w:right w:val="none" w:sz="0" w:space="0" w:color="auto"/>
      </w:divBdr>
    </w:div>
    <w:div w:id="17017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fchile.cl/normativa/ncg_434_2020.pdf" TargetMode="External"/><Relationship Id="rId3" Type="http://schemas.openxmlformats.org/officeDocument/2006/relationships/settings" Target="settings.xml"/><Relationship Id="rId7" Type="http://schemas.openxmlformats.org/officeDocument/2006/relationships/hyperlink" Target="https://www.spensiones.cl/portal/compendio/596/w3-propertyvalue-3296.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3952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Reusser Monsalvez</dc:creator>
  <cp:lastModifiedBy>lorenadonoso</cp:lastModifiedBy>
  <cp:revision>2</cp:revision>
  <dcterms:created xsi:type="dcterms:W3CDTF">2020-08-05T20:02:00Z</dcterms:created>
  <dcterms:modified xsi:type="dcterms:W3CDTF">2020-08-05T20:02:00Z</dcterms:modified>
</cp:coreProperties>
</file>